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88" w:rsidRDefault="006F6E88" w:rsidP="006F6E88">
      <w:pPr>
        <w:tabs>
          <w:tab w:val="center" w:pos="4153"/>
          <w:tab w:val="right" w:pos="8306"/>
        </w:tabs>
        <w:outlineLvl w:val="0"/>
        <w:rPr>
          <w:rFonts w:ascii="Arial" w:eastAsia="Arial Unicode MS" w:hAnsi="Arial Unicode MS"/>
          <w:b/>
          <w:color w:val="000000"/>
          <w:u w:val="single" w:color="000000"/>
        </w:rPr>
      </w:pPr>
      <w:r>
        <w:rPr>
          <w:rFonts w:ascii="Arial" w:eastAsia="Arial Unicode MS" w:hAnsi="Arial Unicode MS"/>
          <w:b/>
          <w:color w:val="000000"/>
          <w:u w:val="single" w:color="000000"/>
        </w:rPr>
        <w:t>PARENT QUESTI</w:t>
      </w:r>
      <w:r w:rsidR="002B34D7">
        <w:rPr>
          <w:rFonts w:ascii="Arial" w:eastAsia="Arial Unicode MS" w:hAnsi="Arial Unicode MS"/>
          <w:b/>
          <w:color w:val="000000"/>
          <w:u w:val="single" w:color="000000"/>
        </w:rPr>
        <w:t>O</w:t>
      </w:r>
      <w:r>
        <w:rPr>
          <w:rFonts w:ascii="Arial" w:eastAsia="Arial Unicode MS" w:hAnsi="Arial Unicode MS"/>
          <w:b/>
          <w:color w:val="000000"/>
          <w:u w:val="single" w:color="000000"/>
        </w:rPr>
        <w:t xml:space="preserve">NNAIRE 2015 - </w:t>
      </w:r>
      <w:r w:rsidRPr="00081893">
        <w:rPr>
          <w:rFonts w:ascii="Arial" w:eastAsia="Arial Unicode MS" w:hAnsi="Arial Unicode MS"/>
          <w:b/>
          <w:color w:val="000000"/>
          <w:u w:val="single" w:color="000000"/>
        </w:rPr>
        <w:t>VIEWS OF PARENTS</w:t>
      </w:r>
    </w:p>
    <w:p w:rsidR="006F6E88" w:rsidRPr="00081893" w:rsidRDefault="006F6E88" w:rsidP="006F6E88">
      <w:pPr>
        <w:tabs>
          <w:tab w:val="center" w:pos="4153"/>
          <w:tab w:val="right" w:pos="8306"/>
        </w:tabs>
        <w:outlineLvl w:val="0"/>
        <w:rPr>
          <w:rFonts w:ascii="Arial" w:eastAsia="Arial Unicode MS" w:hAnsi="Arial Unicode MS"/>
          <w:b/>
          <w:color w:val="000000"/>
          <w:u w:val="single" w:color="000000"/>
        </w:rPr>
      </w:pPr>
    </w:p>
    <w:p w:rsidR="006F6E88" w:rsidRDefault="006F6E88" w:rsidP="006F6E88">
      <w:pPr>
        <w:tabs>
          <w:tab w:val="center" w:pos="4153"/>
          <w:tab w:val="right" w:pos="8306"/>
        </w:tabs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 w:hAnsi="Arial"/>
          <w:color w:val="000000"/>
          <w:u w:color="000000"/>
        </w:rPr>
        <w:t>There were 70</w:t>
      </w:r>
      <w:r w:rsidRPr="00081893">
        <w:rPr>
          <w:rFonts w:ascii="Arial" w:eastAsia="Arial Unicode MS" w:hAnsi="Arial"/>
          <w:color w:val="000000"/>
          <w:u w:color="000000"/>
        </w:rPr>
        <w:t xml:space="preserve"> questionnaires returned – many thanks</w:t>
      </w:r>
      <w:r>
        <w:rPr>
          <w:rFonts w:ascii="Arial" w:eastAsia="Arial Unicode MS" w:hAnsi="Arial"/>
          <w:color w:val="000000"/>
          <w:u w:color="000000"/>
        </w:rPr>
        <w:t xml:space="preserve"> for all your comments and feedback</w:t>
      </w:r>
      <w:r w:rsidRPr="00081893">
        <w:rPr>
          <w:rFonts w:ascii="Arial" w:eastAsia="Arial Unicode MS" w:hAnsi="Arial"/>
          <w:color w:val="000000"/>
          <w:u w:color="000000"/>
        </w:rPr>
        <w:t>!</w:t>
      </w:r>
      <w:r>
        <w:rPr>
          <w:rFonts w:ascii="Arial" w:eastAsia="Arial Unicode MS" w:hAnsi="Arial"/>
          <w:color w:val="000000"/>
          <w:u w:color="000000"/>
        </w:rPr>
        <w:t xml:space="preserve"> </w:t>
      </w:r>
      <w:r w:rsidRPr="00081893">
        <w:rPr>
          <w:rFonts w:ascii="Arial" w:eastAsia="Arial Unicode MS" w:hAnsi="Arial"/>
          <w:color w:val="000000"/>
          <w:u w:color="000000"/>
        </w:rPr>
        <w:t xml:space="preserve">These will be analysed by the Senior Leadership Team and Governors and will help inform our work and identify priorities for the coming year. </w:t>
      </w:r>
    </w:p>
    <w:p w:rsidR="006F6E88" w:rsidRDefault="006F6E88" w:rsidP="006F6E88">
      <w:pPr>
        <w:tabs>
          <w:tab w:val="center" w:pos="4153"/>
          <w:tab w:val="right" w:pos="8306"/>
        </w:tabs>
        <w:outlineLvl w:val="0"/>
        <w:rPr>
          <w:rFonts w:ascii="Arial" w:eastAsia="Arial Unicode MS" w:hAnsi="Arial"/>
          <w:color w:val="000000"/>
          <w:u w:color="000000"/>
        </w:rPr>
      </w:pPr>
    </w:p>
    <w:p w:rsidR="006F6E88" w:rsidRPr="0056567A" w:rsidRDefault="006F6E88" w:rsidP="006F6E88">
      <w:pPr>
        <w:tabs>
          <w:tab w:val="center" w:pos="4153"/>
          <w:tab w:val="right" w:pos="8306"/>
        </w:tabs>
        <w:outlineLvl w:val="0"/>
        <w:rPr>
          <w:rFonts w:ascii="Arial" w:eastAsia="Arial Unicode MS" w:hAnsi="Arial"/>
          <w:color w:val="000000"/>
          <w:sz w:val="16"/>
          <w:szCs w:val="16"/>
          <w:u w:color="000000"/>
        </w:rPr>
      </w:pPr>
      <w:r>
        <w:rPr>
          <w:rFonts w:ascii="Arial" w:eastAsia="Arial Unicode MS" w:hAnsi="Arial"/>
          <w:color w:val="000000"/>
          <w:u w:color="000000"/>
        </w:rPr>
        <w:t xml:space="preserve"> </w:t>
      </w:r>
    </w:p>
    <w:tbl>
      <w:tblPr>
        <w:tblpPr w:leftFromText="180" w:rightFromText="180" w:vertAnchor="text" w:horzAnchor="margin" w:tblpXSpec="center" w:tblpY="60"/>
        <w:tblW w:w="9747" w:type="dxa"/>
        <w:tblCellMar>
          <w:left w:w="0" w:type="dxa"/>
          <w:right w:w="0" w:type="dxa"/>
        </w:tblCellMar>
        <w:tblLook w:val="04A0"/>
      </w:tblPr>
      <w:tblGrid>
        <w:gridCol w:w="533"/>
        <w:gridCol w:w="5428"/>
        <w:gridCol w:w="865"/>
        <w:gridCol w:w="961"/>
        <w:gridCol w:w="892"/>
        <w:gridCol w:w="1068"/>
      </w:tblGrid>
      <w:tr w:rsidR="006F6E88" w:rsidRPr="00085371" w:rsidTr="005F0316">
        <w:trPr>
          <w:trHeight w:val="360"/>
        </w:trPr>
        <w:tc>
          <w:tcPr>
            <w:tcW w:w="607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Statement</w:t>
            </w:r>
          </w:p>
        </w:tc>
        <w:tc>
          <w:tcPr>
            <w:tcW w:w="8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96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7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10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cs="Calibri"/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Strongly</w:t>
            </w:r>
          </w:p>
          <w:p w:rsidR="006F6E88" w:rsidRPr="00085371" w:rsidRDefault="006F6E88" w:rsidP="005F0316">
            <w:pPr>
              <w:widowControl w:val="0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</w:tr>
      <w:tr w:rsidR="006F6E88" w:rsidRPr="00085371" w:rsidTr="005F0316">
        <w:trPr>
          <w:trHeight w:val="288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Default="006F6E88" w:rsidP="005F0316">
            <w:pPr>
              <w:widowControl w:val="0"/>
              <w:ind w:left="-517" w:hanging="5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Q1</w:t>
            </w:r>
          </w:p>
          <w:p w:rsidR="006F6E88" w:rsidRPr="002F297C" w:rsidRDefault="006F6E88" w:rsidP="005F0316">
            <w:pPr>
              <w:rPr>
                <w:rFonts w:ascii="Arial" w:hAnsi="Arial" w:cs="Arial"/>
                <w:sz w:val="16"/>
                <w:szCs w:val="16"/>
              </w:rPr>
            </w:pPr>
            <w:r w:rsidRPr="002F297C">
              <w:rPr>
                <w:rFonts w:ascii="Arial" w:hAnsi="Arial" w:cs="Arial"/>
                <w:sz w:val="16"/>
                <w:szCs w:val="16"/>
              </w:rPr>
              <w:t>Q1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My child/children is/are happy at school.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E88" w:rsidRPr="00085371" w:rsidTr="005F0316">
        <w:trPr>
          <w:trHeight w:val="348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68%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32%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24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Q2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My child/children feel safe at this school.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E88" w:rsidRPr="00085371" w:rsidTr="005F0316">
        <w:trPr>
          <w:trHeight w:val="252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81%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19%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34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Q3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My child/children make good progress at this school.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48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33%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00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Q4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My child/children are well looked after at this school.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99%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1%</w:t>
            </w:r>
          </w:p>
        </w:tc>
      </w:tr>
      <w:tr w:rsidR="006F6E88" w:rsidRPr="00085371" w:rsidTr="005F0316">
        <w:trPr>
          <w:trHeight w:val="276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12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Q5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My child/children are taught well at this school.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ind w:left="-1134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1                         99%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color w:val="000000"/>
                <w:kern w:val="28"/>
                <w:sz w:val="16"/>
                <w:szCs w:val="16"/>
              </w:rPr>
              <w:t>1%</w:t>
            </w:r>
          </w:p>
        </w:tc>
      </w:tr>
      <w:tr w:rsidR="006F6E88" w:rsidRPr="00085371" w:rsidTr="005F0316">
        <w:trPr>
          <w:trHeight w:val="252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26%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84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Q6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My child/children receive appropriate homework for their age.</w:t>
            </w:r>
          </w:p>
          <w:p w:rsidR="006F6E88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Default="006F6E88" w:rsidP="005F031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085371">
              <w:rPr>
                <w:rFonts w:ascii="Arial" w:hAnsi="Arial" w:cs="Arial"/>
                <w:b/>
                <w:sz w:val="16"/>
                <w:szCs w:val="16"/>
              </w:rPr>
              <w:t>99%</w:t>
            </w:r>
          </w:p>
          <w:p w:rsidR="006F6E88" w:rsidRPr="00D01C35" w:rsidRDefault="006F6E88" w:rsidP="005F0316">
            <w:pPr>
              <w:widowControl w:val="0"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D01C35">
              <w:rPr>
                <w:color w:val="000000"/>
                <w:kern w:val="28"/>
                <w:sz w:val="16"/>
                <w:szCs w:val="16"/>
              </w:rPr>
              <w:t>(1% no opinion)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72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252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Q7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This school makes sure it’s pupils are well behaved.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99%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1%</w:t>
            </w:r>
          </w:p>
        </w:tc>
      </w:tr>
      <w:tr w:rsidR="006F6E88" w:rsidRPr="00085371" w:rsidTr="005F0316">
        <w:trPr>
          <w:trHeight w:val="312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00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Q8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This school deals effectively with bullying.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Default="006F6E88" w:rsidP="005F031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Pr="0008537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6F6E88" w:rsidRPr="00223BC0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(3% no opinion)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E88" w:rsidRPr="00085371" w:rsidTr="005F0316">
        <w:trPr>
          <w:trHeight w:val="276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</w:t>
            </w:r>
            <w:r w:rsidR="003C3548">
              <w:rPr>
                <w:rFonts w:ascii="Arial" w:hAnsi="Arial" w:cs="Arial"/>
                <w:sz w:val="16"/>
                <w:szCs w:val="16"/>
              </w:rPr>
              <w:t>3</w:t>
            </w:r>
            <w:r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00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Q9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This school is well led and managed.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Default="006F6E88" w:rsidP="005F031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98</w:t>
            </w:r>
            <w:r w:rsidRPr="0008537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6F6E88" w:rsidRPr="00223BC0" w:rsidRDefault="006F6E88" w:rsidP="005F0316">
            <w:pPr>
              <w:widowControl w:val="0"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223BC0">
              <w:rPr>
                <w:rFonts w:ascii="Arial" w:hAnsi="Arial" w:cs="Arial"/>
                <w:sz w:val="16"/>
                <w:szCs w:val="16"/>
              </w:rPr>
              <w:t>(1% no opinion)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1%</w:t>
            </w:r>
          </w:p>
        </w:tc>
      </w:tr>
      <w:tr w:rsidR="006F6E88" w:rsidRPr="00085371" w:rsidTr="005F0316">
        <w:trPr>
          <w:trHeight w:val="264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</w:t>
            </w:r>
            <w:r w:rsidR="003C3548">
              <w:rPr>
                <w:rFonts w:ascii="Arial" w:hAnsi="Arial" w:cs="Arial"/>
                <w:sz w:val="16"/>
                <w:szCs w:val="16"/>
              </w:rPr>
              <w:t>1</w:t>
            </w:r>
            <w:r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252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Q10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This school responds well to any concerns I raise.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Pr="0008537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6E88" w:rsidRPr="00223BC0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223BC0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</w:tr>
      <w:tr w:rsidR="006F6E88" w:rsidRPr="00085371" w:rsidTr="005F0316">
        <w:trPr>
          <w:trHeight w:val="324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5</w:t>
            </w:r>
            <w:r w:rsidR="003C3548">
              <w:rPr>
                <w:rFonts w:ascii="Arial" w:hAnsi="Arial" w:cs="Arial"/>
                <w:sz w:val="16"/>
                <w:szCs w:val="16"/>
              </w:rPr>
              <w:t>8</w:t>
            </w:r>
            <w:r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39%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60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Q11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I receive valuable information from the school about my child’s progress.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94%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6E88" w:rsidRPr="00223BC0" w:rsidRDefault="003C3548" w:rsidP="003C3548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F6E88" w:rsidRPr="00223BC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6F6E88" w:rsidRPr="00085371" w:rsidTr="005F0316">
        <w:trPr>
          <w:trHeight w:val="275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38%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3C3548" w:rsidP="003C354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F6E88" w:rsidRPr="0008537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252"/>
        </w:trPr>
        <w:tc>
          <w:tcPr>
            <w:tcW w:w="53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Q12</w:t>
            </w:r>
          </w:p>
        </w:tc>
        <w:tc>
          <w:tcPr>
            <w:tcW w:w="55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F6E88" w:rsidRPr="00085371" w:rsidRDefault="006F6E88" w:rsidP="005F0316">
            <w:pPr>
              <w:widowControl w:val="0"/>
              <w:rPr>
                <w:rFonts w:cs="Calibri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I would recommend this school to other parents.</w:t>
            </w:r>
          </w:p>
          <w:p w:rsidR="006F6E88" w:rsidRPr="00085371" w:rsidRDefault="006F6E88" w:rsidP="005F0316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Default="006F6E88" w:rsidP="005F031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371">
              <w:rPr>
                <w:rFonts w:ascii="Arial" w:hAnsi="Arial" w:cs="Arial"/>
                <w:b/>
                <w:sz w:val="16"/>
                <w:szCs w:val="16"/>
              </w:rPr>
              <w:t>99%</w:t>
            </w:r>
          </w:p>
          <w:p w:rsidR="006F6E88" w:rsidRPr="00223BC0" w:rsidRDefault="006F6E88" w:rsidP="005F0316">
            <w:pPr>
              <w:widowControl w:val="0"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223BC0">
              <w:rPr>
                <w:rFonts w:ascii="Arial" w:hAnsi="Arial" w:cs="Arial"/>
                <w:sz w:val="16"/>
                <w:szCs w:val="16"/>
              </w:rPr>
              <w:t>(1% no opinion)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6E88" w:rsidRPr="00085371" w:rsidRDefault="006F6E88" w:rsidP="005F0316">
            <w:pPr>
              <w:widowControl w:val="0"/>
              <w:jc w:val="center"/>
              <w:rPr>
                <w:b/>
                <w:color w:val="000000"/>
                <w:kern w:val="28"/>
                <w:sz w:val="16"/>
                <w:szCs w:val="16"/>
              </w:rPr>
            </w:pPr>
          </w:p>
        </w:tc>
      </w:tr>
      <w:tr w:rsidR="006F6E88" w:rsidRPr="00085371" w:rsidTr="005F0316">
        <w:trPr>
          <w:trHeight w:val="336"/>
        </w:trPr>
        <w:tc>
          <w:tcPr>
            <w:tcW w:w="534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  <w:vMerge/>
            <w:tcBorders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37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88" w:rsidRPr="00085371" w:rsidRDefault="006F6E88" w:rsidP="005F031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6E88" w:rsidRDefault="006F6E88" w:rsidP="006F6E88">
      <w:pPr>
        <w:tabs>
          <w:tab w:val="center" w:pos="4153"/>
          <w:tab w:val="right" w:pos="8306"/>
        </w:tabs>
        <w:outlineLvl w:val="0"/>
        <w:rPr>
          <w:rFonts w:ascii="Arial" w:eastAsia="Arial Unicode MS" w:hAnsi="Arial Unicode MS"/>
          <w:b/>
          <w:color w:val="000000"/>
          <w:u w:val="single" w:color="000000"/>
        </w:rPr>
      </w:pPr>
    </w:p>
    <w:p w:rsidR="00936F1C" w:rsidRPr="000C5366" w:rsidRDefault="00E72F08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E88"/>
    <w:rsid w:val="000459D6"/>
    <w:rsid w:val="00056F41"/>
    <w:rsid w:val="00084B07"/>
    <w:rsid w:val="000C4F63"/>
    <w:rsid w:val="000C5366"/>
    <w:rsid w:val="002B34D7"/>
    <w:rsid w:val="00366044"/>
    <w:rsid w:val="003C3548"/>
    <w:rsid w:val="003F361A"/>
    <w:rsid w:val="004326DA"/>
    <w:rsid w:val="00445FF9"/>
    <w:rsid w:val="005B4D62"/>
    <w:rsid w:val="00610A7F"/>
    <w:rsid w:val="00614B21"/>
    <w:rsid w:val="006B1D2E"/>
    <w:rsid w:val="006F6E88"/>
    <w:rsid w:val="00700859"/>
    <w:rsid w:val="007442D5"/>
    <w:rsid w:val="00771234"/>
    <w:rsid w:val="007B4599"/>
    <w:rsid w:val="007F01D6"/>
    <w:rsid w:val="008126C0"/>
    <w:rsid w:val="00870E67"/>
    <w:rsid w:val="009065B7"/>
    <w:rsid w:val="00907876"/>
    <w:rsid w:val="009D0CBD"/>
    <w:rsid w:val="00B159DF"/>
    <w:rsid w:val="00B86064"/>
    <w:rsid w:val="00BF73AD"/>
    <w:rsid w:val="00D33913"/>
    <w:rsid w:val="00D738B9"/>
    <w:rsid w:val="00E72F08"/>
    <w:rsid w:val="00E8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Knowsley MBC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mccrystalkstan</dc:creator>
  <cp:lastModifiedBy>goodwina</cp:lastModifiedBy>
  <cp:revision>2</cp:revision>
  <cp:lastPrinted>2016-03-07T15:05:00Z</cp:lastPrinted>
  <dcterms:created xsi:type="dcterms:W3CDTF">2016-03-07T15:23:00Z</dcterms:created>
  <dcterms:modified xsi:type="dcterms:W3CDTF">2016-03-07T15:23:00Z</dcterms:modified>
</cp:coreProperties>
</file>